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9" w:rsidRDefault="00543169" w:rsidP="00543169">
      <w:pPr>
        <w:rPr>
          <w:rFonts w:ascii="Times New Roman" w:hAnsi="Times New Roman" w:cs="Times New Roman"/>
          <w:b/>
        </w:rPr>
      </w:pPr>
      <w:r w:rsidRPr="00856F57">
        <w:rPr>
          <w:rFonts w:ascii="Times New Roman" w:hAnsi="Times New Roman" w:cs="Times New Roman"/>
          <w:b/>
        </w:rPr>
        <w:t>Publications</w:t>
      </w:r>
    </w:p>
    <w:p w:rsidR="00543169" w:rsidRPr="00B14195" w:rsidRDefault="00543169" w:rsidP="00543169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543169" w:rsidRPr="00F461DA" w:rsidRDefault="00543169" w:rsidP="00543169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F461DA">
        <w:rPr>
          <w:rFonts w:ascii="Times New Roman" w:hAnsi="Times New Roman" w:cs="Times New Roman"/>
          <w:b/>
          <w:noProof/>
          <w:sz w:val="20"/>
          <w:szCs w:val="20"/>
        </w:rPr>
        <w:t>BOOK</w:t>
      </w:r>
    </w:p>
    <w:p w:rsidR="00543169" w:rsidRPr="00B14195" w:rsidRDefault="00543169" w:rsidP="00543169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4195">
        <w:rPr>
          <w:rFonts w:ascii="Times New Roman" w:hAnsi="Times New Roman" w:cs="Times New Roman"/>
          <w:i/>
          <w:sz w:val="22"/>
          <w:szCs w:val="22"/>
        </w:rPr>
        <w:t xml:space="preserve">A Terracotta Treasure from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Assos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İstanbul: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Ege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Yay</w:t>
      </w:r>
      <w:r w:rsidRPr="00B14195">
        <w:rPr>
          <w:rFonts w:ascii="Times New Roman" w:hAnsi="Times New Roman" w:cs="Times New Roman"/>
          <w:sz w:val="22"/>
          <w:szCs w:val="22"/>
          <w:lang w:val="tr-TR"/>
        </w:rPr>
        <w:t>ınları</w:t>
      </w:r>
      <w:r w:rsidRPr="00B14195">
        <w:rPr>
          <w:rFonts w:ascii="Times New Roman" w:hAnsi="Times New Roman" w:cs="Times New Roman"/>
          <w:sz w:val="22"/>
          <w:szCs w:val="22"/>
        </w:rPr>
        <w:t xml:space="preserve">, 2015 (co-authored with N.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Arslan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)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F461DA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1DA">
        <w:rPr>
          <w:rFonts w:ascii="Times New Roman" w:hAnsi="Times New Roman" w:cs="Times New Roman"/>
          <w:b/>
          <w:sz w:val="20"/>
          <w:szCs w:val="20"/>
        </w:rPr>
        <w:t>BOOK CHAPTER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>“</w:t>
      </w:r>
      <w:r w:rsidRPr="00B14195">
        <w:rPr>
          <w:rFonts w:ascii="Times New Roman" w:hAnsi="Times New Roman" w:cs="Times New Roman"/>
          <w:iCs/>
          <w:sz w:val="22"/>
          <w:szCs w:val="22"/>
        </w:rPr>
        <w:t>Women and Music in Ancient Anatolia: The Iconographic Evidence</w:t>
      </w:r>
      <w:r w:rsidRPr="00B14195">
        <w:rPr>
          <w:rFonts w:ascii="Times New Roman" w:hAnsi="Times New Roman" w:cs="Times New Roman"/>
          <w:sz w:val="22"/>
          <w:szCs w:val="22"/>
        </w:rPr>
        <w:t xml:space="preserve">” in </w:t>
      </w:r>
      <w:r w:rsidRPr="00B14195">
        <w:rPr>
          <w:rFonts w:ascii="Times New Roman" w:hAnsi="Times New Roman" w:cs="Times New Roman"/>
          <w:i/>
          <w:iCs/>
          <w:sz w:val="22"/>
          <w:szCs w:val="22"/>
        </w:rPr>
        <w:t>Questions, Approaches, and Dialogues in the Eastern Mediterranean Archaeology: Studies in Honor of Marie-Henriette and Charles Gates</w:t>
      </w:r>
      <w:r w:rsidRPr="00B14195">
        <w:rPr>
          <w:rFonts w:ascii="Times New Roman" w:hAnsi="Times New Roman" w:cs="Times New Roman"/>
          <w:iCs/>
          <w:sz w:val="22"/>
          <w:szCs w:val="22"/>
        </w:rPr>
        <w:t xml:space="preserve">, eds. E. </w:t>
      </w:r>
      <w:proofErr w:type="spellStart"/>
      <w:r w:rsidRPr="00B14195">
        <w:rPr>
          <w:rFonts w:ascii="Times New Roman" w:hAnsi="Times New Roman" w:cs="Times New Roman"/>
          <w:iCs/>
          <w:sz w:val="22"/>
          <w:szCs w:val="22"/>
        </w:rPr>
        <w:t>Kozal</w:t>
      </w:r>
      <w:proofErr w:type="spellEnd"/>
      <w:r w:rsidRPr="00B14195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B14195">
        <w:rPr>
          <w:rFonts w:ascii="Times New Roman" w:hAnsi="Times New Roman" w:cs="Times New Roman"/>
          <w:iCs/>
          <w:sz w:val="22"/>
          <w:szCs w:val="22"/>
        </w:rPr>
        <w:t>et</w:t>
      </w:r>
      <w:proofErr w:type="gramEnd"/>
      <w:r w:rsidRPr="00B14195">
        <w:rPr>
          <w:rFonts w:ascii="Times New Roman" w:hAnsi="Times New Roman" w:cs="Times New Roman"/>
          <w:iCs/>
          <w:sz w:val="22"/>
          <w:szCs w:val="22"/>
        </w:rPr>
        <w:t xml:space="preserve"> all. Munich: Ugarit </w:t>
      </w:r>
      <w:proofErr w:type="spellStart"/>
      <w:r w:rsidRPr="00B14195">
        <w:rPr>
          <w:rFonts w:ascii="Times New Roman" w:hAnsi="Times New Roman" w:cs="Times New Roman"/>
          <w:iCs/>
          <w:sz w:val="22"/>
          <w:szCs w:val="22"/>
        </w:rPr>
        <w:t>Verlag</w:t>
      </w:r>
      <w:proofErr w:type="spellEnd"/>
      <w:r w:rsidRPr="00B14195">
        <w:rPr>
          <w:rFonts w:ascii="Times New Roman" w:hAnsi="Times New Roman" w:cs="Times New Roman"/>
          <w:iCs/>
          <w:sz w:val="22"/>
          <w:szCs w:val="22"/>
        </w:rPr>
        <w:t>. 561-586, 2016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3169" w:rsidRPr="00F461DA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1DA">
        <w:rPr>
          <w:rFonts w:ascii="Times New Roman" w:hAnsi="Times New Roman" w:cs="Times New Roman"/>
          <w:b/>
          <w:sz w:val="20"/>
          <w:szCs w:val="20"/>
        </w:rPr>
        <w:t xml:space="preserve">ARTICLES 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 xml:space="preserve"> “An Archaic Ivory Figurine from a Tumulus near </w:t>
      </w:r>
      <w:proofErr w:type="spellStart"/>
      <w:r w:rsidRPr="00B14195">
        <w:rPr>
          <w:rFonts w:ascii="Times New Roman" w:hAnsi="Times New Roman" w:cs="Times New Roman"/>
          <w:spacing w:val="0"/>
          <w:sz w:val="22"/>
          <w:szCs w:val="22"/>
        </w:rPr>
        <w:t>Elmalı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: Cultural Hybridization and the Birth of a New Anatolian Style.” </w:t>
      </w:r>
      <w:r w:rsidRPr="00B14195">
        <w:rPr>
          <w:rFonts w:ascii="Times New Roman" w:hAnsi="Times New Roman" w:cs="Times New Roman"/>
          <w:i/>
          <w:iCs/>
          <w:sz w:val="22"/>
          <w:szCs w:val="22"/>
        </w:rPr>
        <w:t>Hesperia</w:t>
      </w:r>
      <w:r w:rsidRPr="00B14195">
        <w:rPr>
          <w:rFonts w:ascii="Times New Roman" w:hAnsi="Times New Roman" w:cs="Times New Roman"/>
          <w:sz w:val="22"/>
          <w:szCs w:val="22"/>
        </w:rPr>
        <w:t xml:space="preserve"> 79, 53-78, 2010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 xml:space="preserve">“The Sculptural Program of the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Heroon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Perikle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Limyra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: The Making of a King.” </w:t>
      </w:r>
      <w:r w:rsidRPr="00B14195">
        <w:rPr>
          <w:rFonts w:ascii="Times New Roman" w:hAnsi="Times New Roman" w:cs="Times New Roman"/>
          <w:i/>
          <w:sz w:val="22"/>
          <w:szCs w:val="22"/>
        </w:rPr>
        <w:t>Anatolian Studies</w:t>
      </w:r>
      <w:r w:rsidRPr="00B14195">
        <w:rPr>
          <w:rFonts w:ascii="Times New Roman" w:hAnsi="Times New Roman" w:cs="Times New Roman"/>
          <w:sz w:val="22"/>
          <w:szCs w:val="22"/>
        </w:rPr>
        <w:t xml:space="preserve"> 63, 55-74, 2013</w:t>
      </w: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Arakhne’s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Loom: Luxurious Textile Production in Ancient Western Anatolia.” </w:t>
      </w:r>
      <w:r w:rsidRPr="00B14195">
        <w:rPr>
          <w:rFonts w:ascii="Times New Roman" w:hAnsi="Times New Roman" w:cs="Times New Roman"/>
          <w:i/>
          <w:sz w:val="22"/>
          <w:szCs w:val="22"/>
        </w:rPr>
        <w:t>OLBA</w:t>
      </w:r>
      <w:r w:rsidRPr="00B14195">
        <w:rPr>
          <w:rFonts w:ascii="Times New Roman" w:hAnsi="Times New Roman" w:cs="Times New Roman"/>
          <w:sz w:val="22"/>
          <w:szCs w:val="22"/>
        </w:rPr>
        <w:t xml:space="preserve"> 22, 251-281, 2014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 xml:space="preserve">“Headdress Fashions and Their Social Significance in Ancient Western Anatolia: The Seventh </w:t>
      </w:r>
      <w:proofErr w:type="gramStart"/>
      <w:r w:rsidRPr="00B14195">
        <w:rPr>
          <w:rFonts w:ascii="Times New Roman" w:hAnsi="Times New Roman" w:cs="Times New Roman"/>
          <w:sz w:val="22"/>
          <w:szCs w:val="22"/>
        </w:rPr>
        <w:t>Through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Fourth Centuries BCE.”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Anadolu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>,</w:t>
      </w:r>
      <w:r w:rsidRPr="00B14195">
        <w:rPr>
          <w:rFonts w:ascii="Times New Roman" w:hAnsi="Times New Roman" w:cs="Times New Roman"/>
          <w:sz w:val="22"/>
          <w:szCs w:val="22"/>
        </w:rPr>
        <w:t xml:space="preserve"> 40, 45-85, 2014 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Gülsün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Karamustafa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: A Vagabond, From a Personal to Social, From Local to Global.” (</w:t>
      </w:r>
      <w:proofErr w:type="gramStart"/>
      <w:r w:rsidRPr="00B14195">
        <w:rPr>
          <w:rFonts w:ascii="Times New Roman" w:hAnsi="Times New Roman" w:cs="Times New Roman"/>
          <w:sz w:val="22"/>
          <w:szCs w:val="22"/>
        </w:rPr>
        <w:t>co-authored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with S.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Hasg</w:t>
      </w:r>
      <w:proofErr w:type="spellEnd"/>
      <w:r w:rsidRPr="00B14195">
        <w:rPr>
          <w:rFonts w:ascii="Times New Roman" w:hAnsi="Times New Roman" w:cs="Times New Roman"/>
          <w:sz w:val="22"/>
          <w:szCs w:val="22"/>
          <w:lang w:val="tr-TR"/>
        </w:rPr>
        <w:t>üler)</w:t>
      </w:r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r w:rsidRPr="00B14195">
        <w:rPr>
          <w:rFonts w:ascii="Times New Roman" w:hAnsi="Times New Roman" w:cs="Times New Roman"/>
          <w:i/>
          <w:sz w:val="22"/>
          <w:szCs w:val="22"/>
        </w:rPr>
        <w:t>Woman's Art Journal</w:t>
      </w:r>
      <w:r w:rsidRPr="00B14195">
        <w:rPr>
          <w:rFonts w:ascii="Times New Roman" w:hAnsi="Times New Roman" w:cs="Times New Roman"/>
          <w:sz w:val="22"/>
          <w:szCs w:val="22"/>
        </w:rPr>
        <w:t xml:space="preserve"> 36(2), 11-18, 2014 </w:t>
      </w: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B14195">
        <w:rPr>
          <w:rFonts w:ascii="Times New Roman" w:hAnsi="Times New Roman" w:cs="Times New Roman"/>
          <w:sz w:val="22"/>
          <w:szCs w:val="22"/>
        </w:rPr>
        <w:t xml:space="preserve">“Painted reliefs from Nicomedia: life of a Roman capital city in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colour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.”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r w:rsidRPr="00B14195">
        <w:rPr>
          <w:rFonts w:ascii="Times New Roman" w:hAnsi="Times New Roman" w:cs="Times New Roman"/>
          <w:i/>
          <w:sz w:val="22"/>
          <w:szCs w:val="22"/>
        </w:rPr>
        <w:t>Antiquity,</w:t>
      </w:r>
      <w:r w:rsidRPr="00B14195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Pr="00B14195">
          <w:rPr>
            <w:rStyle w:val="Hyperlink"/>
            <w:rFonts w:ascii="Times New Roman" w:hAnsi="Times New Roman" w:cs="Times New Roman"/>
            <w:sz w:val="22"/>
            <w:szCs w:val="22"/>
          </w:rPr>
          <w:t>http://antiquity.ac.uk/projgall/521)</w:t>
        </w:r>
      </w:hyperlink>
      <w:r w:rsidRPr="00B14195">
        <w:rPr>
          <w:rFonts w:ascii="Times New Roman" w:hAnsi="Times New Roman" w:cs="Times New Roman"/>
          <w:sz w:val="22"/>
          <w:szCs w:val="22"/>
        </w:rPr>
        <w:t>, 2015</w:t>
      </w:r>
      <w:r w:rsidRPr="00B14195">
        <w:rPr>
          <w:rFonts w:ascii="MS Mincho" w:eastAsia="MS Mincho" w:hAnsi="MS Mincho" w:cs="MS Mincho"/>
          <w:sz w:val="22"/>
          <w:szCs w:val="22"/>
        </w:rPr>
        <w:t> </w:t>
      </w: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419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Atina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Vazolarında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Troialı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Helene’in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İki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Farklı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Yüzü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.”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Arkeoloji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ve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Sanat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151, 18-26, 2015</w:t>
      </w:r>
    </w:p>
    <w:p w:rsidR="00543169" w:rsidRPr="00F461DA" w:rsidRDefault="00543169" w:rsidP="00543169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61DA">
        <w:rPr>
          <w:rFonts w:ascii="Times New Roman" w:hAnsi="Times New Roman" w:cs="Times New Roman"/>
          <w:b/>
          <w:sz w:val="22"/>
          <w:szCs w:val="22"/>
        </w:rPr>
        <w:t xml:space="preserve">“A New </w:t>
      </w:r>
      <w:proofErr w:type="spellStart"/>
      <w:r w:rsidRPr="00F461DA">
        <w:rPr>
          <w:rFonts w:ascii="Times New Roman" w:hAnsi="Times New Roman" w:cs="Times New Roman"/>
          <w:b/>
          <w:sz w:val="22"/>
          <w:szCs w:val="22"/>
        </w:rPr>
        <w:t>Tetrarchic</w:t>
      </w:r>
      <w:proofErr w:type="spellEnd"/>
      <w:r w:rsidRPr="00F461DA">
        <w:rPr>
          <w:rFonts w:ascii="Times New Roman" w:hAnsi="Times New Roman" w:cs="Times New Roman"/>
          <w:b/>
          <w:sz w:val="22"/>
          <w:szCs w:val="22"/>
        </w:rPr>
        <w:t xml:space="preserve"> Relief from Nicomedia: Embracing Emperors. </w:t>
      </w:r>
      <w:r w:rsidRPr="00F461DA">
        <w:rPr>
          <w:rFonts w:ascii="Times New Roman" w:hAnsi="Times New Roman" w:cs="Times New Roman"/>
          <w:b/>
          <w:i/>
          <w:sz w:val="22"/>
          <w:szCs w:val="22"/>
        </w:rPr>
        <w:t xml:space="preserve">“American Journal of Archaeology </w:t>
      </w:r>
      <w:r w:rsidRPr="00F461DA">
        <w:rPr>
          <w:rFonts w:ascii="Times New Roman" w:hAnsi="Times New Roman" w:cs="Times New Roman"/>
          <w:b/>
          <w:sz w:val="22"/>
          <w:szCs w:val="22"/>
        </w:rPr>
        <w:t>122, 411-426, 2018</w:t>
      </w:r>
    </w:p>
    <w:p w:rsidR="00543169" w:rsidRPr="00B14195" w:rsidRDefault="00543169" w:rsidP="00543169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</w:rPr>
        <w:t>“</w:t>
      </w:r>
      <w:r w:rsidRPr="00B14195">
        <w:rPr>
          <w:rFonts w:ascii="Times New Roman" w:hAnsi="Times New Roman" w:cs="Times New Roman"/>
          <w:bCs/>
          <w:sz w:val="22"/>
          <w:szCs w:val="22"/>
        </w:rPr>
        <w:t xml:space="preserve">The New Corpus of Painted Imperial Roman Marble Reliefs from Nicomedia: A Preliminary Report on </w:t>
      </w:r>
      <w:proofErr w:type="spellStart"/>
      <w:r w:rsidRPr="00B14195">
        <w:rPr>
          <w:rFonts w:ascii="Times New Roman" w:hAnsi="Times New Roman" w:cs="Times New Roman"/>
          <w:bCs/>
          <w:sz w:val="22"/>
          <w:szCs w:val="22"/>
        </w:rPr>
        <w:t>Polychromy</w:t>
      </w:r>
      <w:proofErr w:type="spellEnd"/>
      <w:r w:rsidRPr="00B14195">
        <w:rPr>
          <w:rFonts w:ascii="Times New Roman" w:hAnsi="Times New Roman" w:cs="Times New Roman"/>
          <w:bCs/>
          <w:sz w:val="22"/>
          <w:szCs w:val="22"/>
        </w:rPr>
        <w:t xml:space="preserve">”, </w:t>
      </w:r>
      <w:proofErr w:type="spellStart"/>
      <w:r w:rsidRPr="00B14195">
        <w:rPr>
          <w:rFonts w:ascii="Times New Roman" w:hAnsi="Times New Roman" w:cs="Times New Roman"/>
          <w:bCs/>
          <w:i/>
          <w:sz w:val="22"/>
          <w:szCs w:val="22"/>
        </w:rPr>
        <w:t>Technè</w:t>
      </w:r>
      <w:proofErr w:type="spellEnd"/>
      <w:r w:rsidRPr="00B14195">
        <w:rPr>
          <w:rFonts w:ascii="Times New Roman" w:hAnsi="Times New Roman" w:cs="Times New Roman"/>
          <w:bCs/>
          <w:i/>
          <w:sz w:val="22"/>
          <w:szCs w:val="22"/>
        </w:rPr>
        <w:t xml:space="preserve">, </w:t>
      </w:r>
      <w:r w:rsidRPr="00B14195">
        <w:rPr>
          <w:rFonts w:ascii="Times New Roman" w:hAnsi="Times New Roman" w:cs="Times New Roman"/>
          <w:bCs/>
          <w:sz w:val="22"/>
          <w:szCs w:val="22"/>
        </w:rPr>
        <w:t>forthcoming (co-authored with M. Abbe)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14195">
        <w:rPr>
          <w:rFonts w:ascii="Times New Roman" w:hAnsi="Times New Roman" w:cs="Times New Roman"/>
          <w:b/>
          <w:noProof/>
          <w:sz w:val="22"/>
          <w:szCs w:val="22"/>
        </w:rPr>
        <w:t>CONFERENCE PROCEEDİNGS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1419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Antik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Anadolu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Sanatının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Etnik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Kategoriler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Batı-Doğu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Arasında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Sıkışmışlığı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Üzerine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” in </w:t>
      </w:r>
      <w:r w:rsidRPr="00B14195">
        <w:rPr>
          <w:rFonts w:ascii="Times New Roman" w:hAnsi="Times New Roman" w:cs="Times New Roman"/>
          <w:i/>
          <w:sz w:val="22"/>
          <w:szCs w:val="22"/>
        </w:rPr>
        <w:t>Changing Archaeology: Proceedings of the 1</w:t>
      </w:r>
      <w:r w:rsidRPr="00B1419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Pr="00B14195">
        <w:rPr>
          <w:rFonts w:ascii="Times New Roman" w:hAnsi="Times New Roman" w:cs="Times New Roman"/>
          <w:i/>
          <w:sz w:val="22"/>
          <w:szCs w:val="22"/>
        </w:rPr>
        <w:t xml:space="preserve"> TAG-Turkey Meeting</w:t>
      </w:r>
      <w:r w:rsidRPr="00B14195">
        <w:rPr>
          <w:rFonts w:ascii="Times New Roman" w:hAnsi="Times New Roman" w:cs="Times New Roman"/>
          <w:sz w:val="22"/>
          <w:szCs w:val="22"/>
        </w:rPr>
        <w:t xml:space="preserve">, eds. Ç.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Çilingiroğlu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and P.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Özgüner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. İstanbul: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Ege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Yay</w:t>
      </w:r>
      <w:r w:rsidRPr="00B14195">
        <w:rPr>
          <w:rFonts w:ascii="Times New Roman" w:hAnsi="Times New Roman" w:cs="Times New Roman"/>
          <w:sz w:val="22"/>
          <w:szCs w:val="22"/>
          <w:lang w:val="tr-TR"/>
        </w:rPr>
        <w:t>ınları. 191-196, 2014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0E13"/>
          <w:sz w:val="22"/>
          <w:szCs w:val="22"/>
        </w:rPr>
      </w:pPr>
      <w:r w:rsidRPr="00B14195">
        <w:rPr>
          <w:rFonts w:ascii="Times New Roman" w:hAnsi="Times New Roman" w:cs="Times New Roman"/>
          <w:sz w:val="22"/>
          <w:szCs w:val="22"/>
          <w:lang w:val="tr-TR"/>
        </w:rPr>
        <w:t>“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İ</w:t>
      </w:r>
      <w:r w:rsidRPr="00B14195">
        <w:rPr>
          <w:rFonts w:ascii="Times New Roman" w:eastAsia="Calibri" w:hAnsi="Times New Roman" w:cs="Times New Roman"/>
          <w:color w:val="380E13"/>
          <w:sz w:val="22"/>
          <w:szCs w:val="22"/>
          <w:lang w:val="tr-TR"/>
        </w:rPr>
        <w:t>̇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mparatorluk Bas</w:t>
      </w:r>
      <w:r w:rsidRPr="00B14195">
        <w:rPr>
          <w:rFonts w:ascii="Times New Roman" w:eastAsia="Calibri" w:hAnsi="Times New Roman" w:cs="Times New Roman"/>
          <w:color w:val="380E13"/>
          <w:sz w:val="22"/>
          <w:szCs w:val="22"/>
          <w:lang w:val="tr-TR"/>
        </w:rPr>
        <w:t>̧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kenti Nicomedia’nın Renkli İhtis</w:t>
      </w:r>
      <w:r w:rsidRPr="00B14195">
        <w:rPr>
          <w:rFonts w:ascii="Times New Roman" w:eastAsia="Calibri" w:hAnsi="Times New Roman" w:cs="Times New Roman"/>
          <w:color w:val="380E13"/>
          <w:sz w:val="22"/>
          <w:szCs w:val="22"/>
          <w:lang w:val="tr-TR"/>
        </w:rPr>
        <w:t>̧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amı: Çukurbag</w:t>
      </w:r>
      <w:r w:rsidRPr="00B14195">
        <w:rPr>
          <w:rFonts w:ascii="Times New Roman" w:eastAsia="Calibri" w:hAnsi="Times New Roman" w:cs="Times New Roman"/>
          <w:color w:val="380E13"/>
          <w:sz w:val="22"/>
          <w:szCs w:val="22"/>
          <w:lang w:val="tr-TR"/>
        </w:rPr>
        <w:t>̆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 xml:space="preserve"> Kurtarma Kazılarında Ortaya Çıkarılan Görkemli</w:t>
      </w:r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 Roma </w:t>
      </w:r>
      <w:proofErr w:type="spell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Anıtı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” in </w:t>
      </w:r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 xml:space="preserve">Proceedings of the III. International Symposium on History of </w:t>
      </w:r>
      <w:proofErr w:type="spellStart"/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>Kocaeli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, eds. H. </w:t>
      </w:r>
      <w:proofErr w:type="spell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Selvi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 </w:t>
      </w:r>
      <w:proofErr w:type="gram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et</w:t>
      </w:r>
      <w:proofErr w:type="gram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 all. </w:t>
      </w:r>
      <w:proofErr w:type="spell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Kocaeli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Belediyesi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>, 343-358, 2017</w:t>
      </w: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0E13"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0E13"/>
          <w:sz w:val="22"/>
          <w:szCs w:val="22"/>
          <w:lang w:val="tr-TR"/>
        </w:rPr>
      </w:pPr>
      <w:r w:rsidRPr="00B14195">
        <w:rPr>
          <w:rFonts w:ascii="Times New Roman" w:hAnsi="Times New Roman" w:cs="Times New Roman"/>
          <w:color w:val="380E13"/>
          <w:sz w:val="22"/>
          <w:szCs w:val="22"/>
        </w:rPr>
        <w:lastRenderedPageBreak/>
        <w:t xml:space="preserve">“Nicomedia 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Çokrenkli (Polykrom) Roma Rölyeflerinin Üzerindeki Arkeometri Çalışmaların Ön Bulguları</w:t>
      </w:r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” in </w:t>
      </w:r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>Proceedings of the Turkish Ministry of Culture 39</w:t>
      </w:r>
      <w:r w:rsidRPr="00B14195">
        <w:rPr>
          <w:rFonts w:ascii="Times New Roman" w:hAnsi="Times New Roman" w:cs="Times New Roman"/>
          <w:i/>
          <w:color w:val="380E13"/>
          <w:sz w:val="22"/>
          <w:szCs w:val="22"/>
          <w:vertAlign w:val="superscript"/>
        </w:rPr>
        <w:t>th</w:t>
      </w:r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 xml:space="preserve"> International </w:t>
      </w:r>
      <w:proofErr w:type="spellStart"/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>Sypmposium</w:t>
      </w:r>
      <w:proofErr w:type="spellEnd"/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 xml:space="preserve"> of Excavations, Surveys, and </w:t>
      </w:r>
      <w:proofErr w:type="spellStart"/>
      <w:r w:rsidRPr="00B14195">
        <w:rPr>
          <w:rFonts w:ascii="Times New Roman" w:hAnsi="Times New Roman" w:cs="Times New Roman"/>
          <w:i/>
          <w:color w:val="380E13"/>
          <w:sz w:val="22"/>
          <w:szCs w:val="22"/>
        </w:rPr>
        <w:t>Archaeometry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, ed. C. </w:t>
      </w:r>
      <w:proofErr w:type="spellStart"/>
      <w:r w:rsidRPr="00B14195">
        <w:rPr>
          <w:rFonts w:ascii="Times New Roman" w:hAnsi="Times New Roman" w:cs="Times New Roman"/>
          <w:color w:val="380E13"/>
          <w:sz w:val="22"/>
          <w:szCs w:val="22"/>
        </w:rPr>
        <w:t>Keskin</w:t>
      </w:r>
      <w:proofErr w:type="spellEnd"/>
      <w:r w:rsidRPr="00B14195">
        <w:rPr>
          <w:rFonts w:ascii="Times New Roman" w:hAnsi="Times New Roman" w:cs="Times New Roman"/>
          <w:color w:val="380E13"/>
          <w:sz w:val="22"/>
          <w:szCs w:val="22"/>
        </w:rPr>
        <w:t xml:space="preserve">, </w:t>
      </w:r>
      <w:r w:rsidRPr="00B14195">
        <w:rPr>
          <w:rFonts w:ascii="Times New Roman" w:hAnsi="Times New Roman" w:cs="Times New Roman"/>
          <w:color w:val="380E13"/>
          <w:sz w:val="22"/>
          <w:szCs w:val="22"/>
          <w:lang w:val="tr-TR"/>
        </w:rPr>
        <w:t>Kültür Varlıkları ve Müzeler Genel Müdürlüğü, 293-305, 2018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Style w:val="section1"/>
          <w:rFonts w:ascii="Times New Roman" w:hAnsi="Times New Roman"/>
          <w:b/>
          <w:sz w:val="22"/>
          <w:szCs w:val="22"/>
        </w:rPr>
      </w:pP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Style w:val="section1"/>
          <w:rFonts w:ascii="Times New Roman" w:hAnsi="Times New Roman"/>
          <w:b/>
          <w:sz w:val="22"/>
          <w:szCs w:val="22"/>
        </w:rPr>
      </w:pPr>
      <w:r w:rsidRPr="00B14195">
        <w:rPr>
          <w:rStyle w:val="section1"/>
          <w:rFonts w:ascii="Times New Roman" w:hAnsi="Times New Roman"/>
          <w:b/>
          <w:sz w:val="22"/>
          <w:szCs w:val="22"/>
        </w:rPr>
        <w:t>REVIEWS and TRANSLATIONS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Style w:val="section1"/>
          <w:rFonts w:ascii="Times New Roman" w:hAnsi="Times New Roman"/>
          <w:sz w:val="22"/>
          <w:szCs w:val="22"/>
        </w:rPr>
      </w:pP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Style w:val="apple-style-span"/>
          <w:rFonts w:ascii="Times New Roman" w:hAnsi="Times New Roman"/>
          <w:sz w:val="22"/>
          <w:szCs w:val="22"/>
        </w:rPr>
      </w:pPr>
      <w:r w:rsidRPr="00B14195">
        <w:rPr>
          <w:rStyle w:val="section1"/>
          <w:rFonts w:ascii="Times New Roman" w:hAnsi="Times New Roman"/>
          <w:sz w:val="22"/>
          <w:szCs w:val="22"/>
        </w:rPr>
        <w:t xml:space="preserve">Review of </w:t>
      </w:r>
      <w:r w:rsidRPr="00B1419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Tatarlı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renklerin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dönüşü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/ </w:t>
      </w:r>
      <w:proofErr w:type="gram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The</w:t>
      </w:r>
      <w:proofErr w:type="gram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return of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colours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/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Rückkehr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der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Farben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” by L.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Summerer</w:t>
      </w:r>
      <w:proofErr w:type="spell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and</w:t>
      </w:r>
      <w:proofErr w:type="gramEnd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A. von </w:t>
      </w:r>
      <w:proofErr w:type="spellStart"/>
      <w:r w:rsidRPr="00B14195">
        <w:rPr>
          <w:rStyle w:val="apple-style-span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Kienlin</w:t>
      </w:r>
      <w:proofErr w:type="spellEnd"/>
      <w:r w:rsidRPr="00B14195">
        <w:rPr>
          <w:rStyle w:val="section1"/>
          <w:rFonts w:ascii="Times New Roman" w:hAnsi="Times New Roman"/>
          <w:sz w:val="22"/>
          <w:szCs w:val="22"/>
        </w:rPr>
        <w:t xml:space="preserve">. </w:t>
      </w:r>
      <w:r w:rsidRPr="00B14195">
        <w:rPr>
          <w:rStyle w:val="section1"/>
          <w:rFonts w:ascii="Times New Roman" w:hAnsi="Times New Roman"/>
          <w:i/>
          <w:iCs/>
          <w:sz w:val="22"/>
          <w:szCs w:val="22"/>
        </w:rPr>
        <w:t xml:space="preserve">Bryn </w:t>
      </w:r>
      <w:proofErr w:type="spellStart"/>
      <w:r w:rsidRPr="00B14195">
        <w:rPr>
          <w:rStyle w:val="section1"/>
          <w:rFonts w:ascii="Times New Roman" w:hAnsi="Times New Roman"/>
          <w:i/>
          <w:iCs/>
          <w:sz w:val="22"/>
          <w:szCs w:val="22"/>
        </w:rPr>
        <w:t>Mawr</w:t>
      </w:r>
      <w:proofErr w:type="spellEnd"/>
      <w:r w:rsidRPr="00B14195">
        <w:rPr>
          <w:rStyle w:val="section1"/>
          <w:rFonts w:ascii="Times New Roman" w:hAnsi="Times New Roman"/>
          <w:i/>
          <w:iCs/>
          <w:sz w:val="22"/>
          <w:szCs w:val="22"/>
        </w:rPr>
        <w:t xml:space="preserve"> Classical Review</w:t>
      </w:r>
      <w:r w:rsidRPr="00B14195">
        <w:rPr>
          <w:rStyle w:val="section1"/>
          <w:rFonts w:ascii="Times New Roman" w:hAnsi="Times New Roman"/>
          <w:sz w:val="22"/>
          <w:szCs w:val="22"/>
        </w:rPr>
        <w:t xml:space="preserve"> </w:t>
      </w:r>
      <w:r w:rsidRPr="00B14195">
        <w:rPr>
          <w:rFonts w:ascii="Times New Roman" w:hAnsi="Times New Roman" w:cs="Times New Roman"/>
          <w:sz w:val="22"/>
          <w:szCs w:val="22"/>
        </w:rPr>
        <w:t>2012.02.24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4195">
        <w:rPr>
          <w:rFonts w:ascii="Times New Roman" w:hAnsi="Times New Roman" w:cs="Times New Roman"/>
          <w:sz w:val="22"/>
          <w:szCs w:val="22"/>
        </w:rPr>
        <w:t xml:space="preserve">Review of “The Temple of Athena at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Assos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14195">
        <w:rPr>
          <w:rFonts w:ascii="Times New Roman" w:hAnsi="Times New Roman" w:cs="Times New Roman"/>
          <w:sz w:val="22"/>
          <w:szCs w:val="22"/>
        </w:rPr>
        <w:t xml:space="preserve">Oxford monographs on classical archaeology” by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Wescoat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Bonna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Daix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</w:t>
      </w:r>
      <w:r w:rsidRPr="00B14195">
        <w:rPr>
          <w:rFonts w:ascii="Times New Roman" w:hAnsi="Times New Roman" w:cs="Times New Roman"/>
          <w:i/>
          <w:sz w:val="22"/>
          <w:szCs w:val="22"/>
        </w:rPr>
        <w:t xml:space="preserve">Bryn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Mawr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Classical Review</w:t>
      </w:r>
      <w:r w:rsidRPr="00B14195">
        <w:rPr>
          <w:rFonts w:ascii="Times New Roman" w:hAnsi="Times New Roman" w:cs="Times New Roman"/>
          <w:sz w:val="22"/>
          <w:szCs w:val="22"/>
        </w:rPr>
        <w:t>, 2013.05.40</w:t>
      </w:r>
      <w:r w:rsidRPr="00B14195">
        <w:rPr>
          <w:rFonts w:ascii="MS Mincho" w:eastAsia="MS Mincho" w:hAnsi="MS Mincho" w:cs="MS Mincho"/>
          <w:sz w:val="22"/>
          <w:szCs w:val="22"/>
        </w:rPr>
        <w:t> </w:t>
      </w:r>
    </w:p>
    <w:p w:rsidR="00543169" w:rsidRPr="00B14195" w:rsidRDefault="00543169" w:rsidP="00543169">
      <w:pPr>
        <w:pStyle w:val="bulletedlist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3169" w:rsidRPr="00B14195" w:rsidRDefault="00543169" w:rsidP="00543169">
      <w:pPr>
        <w:widowControl w:val="0"/>
        <w:autoSpaceDE w:val="0"/>
        <w:autoSpaceDN w:val="0"/>
        <w:adjustRightInd w:val="0"/>
        <w:spacing w:after="240"/>
        <w:jc w:val="both"/>
        <w:rPr>
          <w:rStyle w:val="section1"/>
          <w:rFonts w:ascii="Times New Roman" w:hAnsi="Times New Roman"/>
          <w:sz w:val="22"/>
          <w:szCs w:val="22"/>
        </w:rPr>
      </w:pPr>
      <w:proofErr w:type="gramStart"/>
      <w:r w:rsidRPr="00B14195">
        <w:rPr>
          <w:rFonts w:ascii="Times New Roman" w:eastAsia="MS Mincho" w:hAnsi="Times New Roman" w:cs="Times New Roman"/>
          <w:sz w:val="22"/>
          <w:szCs w:val="22"/>
        </w:rPr>
        <w:t xml:space="preserve">Translation of </w:t>
      </w:r>
      <w:r w:rsidRPr="00B14195">
        <w:rPr>
          <w:rFonts w:ascii="Times New Roman" w:hAnsi="Times New Roman" w:cs="Times New Roman"/>
          <w:i/>
          <w:sz w:val="22"/>
          <w:szCs w:val="22"/>
        </w:rPr>
        <w:t xml:space="preserve">Antioch on the Orontes, Early Explorations in the City of Mosaics /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Asi’deki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Antakya,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Mozaikler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Şehrinde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 İlk </w:t>
      </w:r>
      <w:proofErr w:type="spellStart"/>
      <w:r w:rsidRPr="00B14195">
        <w:rPr>
          <w:rFonts w:ascii="Times New Roman" w:hAnsi="Times New Roman" w:cs="Times New Roman"/>
          <w:i/>
          <w:sz w:val="22"/>
          <w:szCs w:val="22"/>
        </w:rPr>
        <w:t>Araştırmalar</w:t>
      </w:r>
      <w:proofErr w:type="spellEnd"/>
      <w:r w:rsidRPr="00B1419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14195">
        <w:rPr>
          <w:rFonts w:ascii="Times New Roman" w:hAnsi="Times New Roman" w:cs="Times New Roman"/>
          <w:sz w:val="22"/>
          <w:szCs w:val="22"/>
        </w:rPr>
        <w:t>ed. S. Redford.</w:t>
      </w:r>
      <w:proofErr w:type="gramEnd"/>
      <w:r w:rsidRPr="00B14195">
        <w:rPr>
          <w:rFonts w:ascii="Times New Roman" w:hAnsi="Times New Roman" w:cs="Times New Roman"/>
          <w:sz w:val="22"/>
          <w:szCs w:val="22"/>
        </w:rPr>
        <w:t xml:space="preserve"> İstanbul: </w:t>
      </w:r>
      <w:proofErr w:type="spellStart"/>
      <w:r w:rsidRPr="00B14195">
        <w:rPr>
          <w:rFonts w:ascii="Times New Roman" w:hAnsi="Times New Roman" w:cs="Times New Roman"/>
          <w:sz w:val="22"/>
          <w:szCs w:val="22"/>
        </w:rPr>
        <w:t>Koç</w:t>
      </w:r>
      <w:proofErr w:type="spellEnd"/>
      <w:r w:rsidRPr="00B14195">
        <w:rPr>
          <w:rFonts w:ascii="Times New Roman" w:hAnsi="Times New Roman" w:cs="Times New Roman"/>
          <w:sz w:val="22"/>
          <w:szCs w:val="22"/>
        </w:rPr>
        <w:t xml:space="preserve"> University Press, 2015</w:t>
      </w:r>
    </w:p>
    <w:p w:rsidR="00543169" w:rsidRPr="00FD079B" w:rsidRDefault="00543169" w:rsidP="00543169">
      <w:pPr>
        <w:rPr>
          <w:rFonts w:ascii="Times New Roman" w:hAnsi="Times New Roman" w:cs="Times New Roman"/>
        </w:rPr>
      </w:pPr>
    </w:p>
    <w:p w:rsidR="001E477B" w:rsidRDefault="00543169">
      <w:bookmarkStart w:id="0" w:name="_GoBack"/>
      <w:bookmarkEnd w:id="0"/>
    </w:p>
    <w:sectPr w:rsidR="001E477B" w:rsidSect="0052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69"/>
    <w:rsid w:val="004971CA"/>
    <w:rsid w:val="00543169"/>
    <w:rsid w:val="00B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6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169"/>
    <w:rPr>
      <w:color w:val="0563C1"/>
      <w:u w:val="single"/>
    </w:rPr>
  </w:style>
  <w:style w:type="paragraph" w:customStyle="1" w:styleId="bulletedlist">
    <w:name w:val="bulleted list"/>
    <w:basedOn w:val="Normal"/>
    <w:uiPriority w:val="99"/>
    <w:rsid w:val="00543169"/>
    <w:pPr>
      <w:numPr>
        <w:numId w:val="1"/>
      </w:numPr>
      <w:spacing w:before="60" w:line="220" w:lineRule="exact"/>
    </w:pPr>
    <w:rPr>
      <w:rFonts w:ascii="Tahoma" w:eastAsia="SimSun" w:hAnsi="Tahoma" w:cs="Tahoma"/>
      <w:spacing w:val="10"/>
      <w:sz w:val="16"/>
      <w:szCs w:val="16"/>
    </w:rPr>
  </w:style>
  <w:style w:type="character" w:customStyle="1" w:styleId="section1">
    <w:name w:val="section1"/>
    <w:rsid w:val="00543169"/>
    <w:rPr>
      <w:rFonts w:cs="Times New Roman"/>
    </w:rPr>
  </w:style>
  <w:style w:type="character" w:customStyle="1" w:styleId="apple-style-span">
    <w:name w:val="apple-style-span"/>
    <w:rsid w:val="00543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6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169"/>
    <w:rPr>
      <w:color w:val="0563C1"/>
      <w:u w:val="single"/>
    </w:rPr>
  </w:style>
  <w:style w:type="paragraph" w:customStyle="1" w:styleId="bulletedlist">
    <w:name w:val="bulleted list"/>
    <w:basedOn w:val="Normal"/>
    <w:uiPriority w:val="99"/>
    <w:rsid w:val="00543169"/>
    <w:pPr>
      <w:numPr>
        <w:numId w:val="1"/>
      </w:numPr>
      <w:spacing w:before="60" w:line="220" w:lineRule="exact"/>
    </w:pPr>
    <w:rPr>
      <w:rFonts w:ascii="Tahoma" w:eastAsia="SimSun" w:hAnsi="Tahoma" w:cs="Tahoma"/>
      <w:spacing w:val="10"/>
      <w:sz w:val="16"/>
      <w:szCs w:val="16"/>
    </w:rPr>
  </w:style>
  <w:style w:type="character" w:customStyle="1" w:styleId="section1">
    <w:name w:val="section1"/>
    <w:rsid w:val="00543169"/>
    <w:rPr>
      <w:rFonts w:cs="Times New Roman"/>
    </w:rPr>
  </w:style>
  <w:style w:type="character" w:customStyle="1" w:styleId="apple-style-span">
    <w:name w:val="apple-style-span"/>
    <w:rsid w:val="005431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quity.ac.uk/projgall/52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2019-10-03T14:03:00Z</dcterms:created>
  <dcterms:modified xsi:type="dcterms:W3CDTF">2019-10-03T14:05:00Z</dcterms:modified>
</cp:coreProperties>
</file>