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D0" w:rsidRPr="001D0CD0" w:rsidRDefault="001D0CD0" w:rsidP="001D0CD0">
      <w:pPr>
        <w:pStyle w:val="NormalWeb"/>
        <w:rPr>
          <w:rStyle w:val="Emphasis"/>
          <w:i w:val="0"/>
        </w:rPr>
      </w:pPr>
      <w:bookmarkStart w:id="0" w:name="_GoBack"/>
      <w:bookmarkEnd w:id="0"/>
      <w:r>
        <w:rPr>
          <w:rStyle w:val="Emphasis"/>
          <w:i w:val="0"/>
        </w:rPr>
        <w:t>Books:</w:t>
      </w:r>
    </w:p>
    <w:p w:rsidR="00DC2C5B" w:rsidRDefault="00F95D77" w:rsidP="001D0CD0">
      <w:pPr>
        <w:pStyle w:val="NormalWeb"/>
      </w:pPr>
      <w:r>
        <w:rPr>
          <w:rStyle w:val="Emphasis"/>
        </w:rPr>
        <w:t>Approaching Roman Society</w:t>
      </w:r>
      <w:r>
        <w:t xml:space="preserve"> (in preparation)</w:t>
      </w:r>
      <w:r w:rsidR="00C76C3A">
        <w:t>.</w:t>
      </w:r>
    </w:p>
    <w:p w:rsidR="00F95D77" w:rsidRDefault="00F95D77" w:rsidP="001D0CD0">
      <w:pPr>
        <w:pStyle w:val="NormalWeb"/>
      </w:pPr>
      <w:r>
        <w:rPr>
          <w:rStyle w:val="Emphasis"/>
        </w:rPr>
        <w:t>Divine Qualities: Cult and Community in Republican Rome</w:t>
      </w:r>
      <w:r>
        <w:t>, OUP 2007</w:t>
      </w:r>
      <w:r w:rsidR="00C76C3A">
        <w:t>.</w:t>
      </w:r>
    </w:p>
    <w:p w:rsidR="001D0CD0" w:rsidRDefault="001D0CD0" w:rsidP="001D0CD0">
      <w:pPr>
        <w:pStyle w:val="NormalWeb"/>
      </w:pPr>
      <w:r>
        <w:t>Other:</w:t>
      </w:r>
    </w:p>
    <w:p w:rsidR="001D0CD0" w:rsidRDefault="00F95D77" w:rsidP="001D0CD0">
      <w:pPr>
        <w:pStyle w:val="NormalWeb"/>
      </w:pPr>
      <w:r>
        <w:t xml:space="preserve">‘Gods, change and civic space in late Republican oratory’ in C. Steel and H. van der Blom (eds.), </w:t>
      </w:r>
      <w:r w:rsidR="006841D6">
        <w:rPr>
          <w:rStyle w:val="Emphasis"/>
        </w:rPr>
        <w:t>Institutions and Ideology in Republican Rome</w:t>
      </w:r>
      <w:r w:rsidR="00FE0576">
        <w:rPr>
          <w:rStyle w:val="Emphasis"/>
          <w:i w:val="0"/>
        </w:rPr>
        <w:t>, CUP</w:t>
      </w:r>
      <w:r w:rsidR="006841D6">
        <w:rPr>
          <w:rStyle w:val="Emphasis"/>
        </w:rPr>
        <w:t xml:space="preserve"> </w:t>
      </w:r>
      <w:r>
        <w:t>(forthcoming 2018)</w:t>
      </w:r>
      <w:r w:rsidR="00C76C3A">
        <w:t>.</w:t>
      </w:r>
    </w:p>
    <w:p w:rsidR="001D0CD0" w:rsidRDefault="00FE0576" w:rsidP="001D0CD0">
      <w:pPr>
        <w:pStyle w:val="NormalWeb"/>
      </w:pPr>
      <w:r>
        <w:t xml:space="preserve">‘Gods and Roman Comedy’, </w:t>
      </w:r>
      <w:r w:rsidR="006841D6">
        <w:t xml:space="preserve">in M. Dinter (ed.) </w:t>
      </w:r>
      <w:r w:rsidR="006841D6">
        <w:rPr>
          <w:rStyle w:val="Emphasis"/>
        </w:rPr>
        <w:t>The Cambridge Companion to Roman Comedy</w:t>
      </w:r>
      <w:r w:rsidR="006841D6">
        <w:t>, CUP</w:t>
      </w:r>
      <w:r>
        <w:t xml:space="preserve"> (forthcoming 2018)</w:t>
      </w:r>
      <w:r w:rsidR="006841D6">
        <w:t>.</w:t>
      </w:r>
    </w:p>
    <w:p w:rsidR="001D0CD0" w:rsidRDefault="006841D6" w:rsidP="001D0CD0">
      <w:pPr>
        <w:pStyle w:val="NormalWeb"/>
      </w:pPr>
      <w:r>
        <w:t xml:space="preserve"> </w:t>
      </w:r>
      <w:r w:rsidR="00F95D77">
        <w:t xml:space="preserve">‘Honouring honos’ in E. Bispham and D. Miano (eds.), </w:t>
      </w:r>
      <w:r w:rsidR="00F95D77">
        <w:rPr>
          <w:rStyle w:val="Emphasis"/>
        </w:rPr>
        <w:t>Gods and Goddesses in Ancient Italy </w:t>
      </w:r>
      <w:hyperlink r:id="rId6" w:history="1"/>
      <w:r w:rsidR="00F95D77">
        <w:t>(</w:t>
      </w:r>
      <w:r w:rsidR="00C76C3A">
        <w:t xml:space="preserve">Routledge, </w:t>
      </w:r>
      <w:r w:rsidR="00F95D77">
        <w:t>under review)</w:t>
      </w:r>
      <w:r w:rsidR="00C76C3A">
        <w:t>.</w:t>
      </w:r>
    </w:p>
    <w:p w:rsidR="001D0CD0" w:rsidRDefault="00F95D77" w:rsidP="001D0CD0">
      <w:pPr>
        <w:pStyle w:val="NormalWeb"/>
      </w:pPr>
      <w:r>
        <w:t>‘Ciceronian Correspondences? Gods as elements of social communication (</w:t>
      </w:r>
      <w:r w:rsidRPr="006841D6">
        <w:rPr>
          <w:i/>
        </w:rPr>
        <w:t>Att</w:t>
      </w:r>
      <w:r>
        <w:t>. 1.13, 1.16, 1.18)’, working paper (2013) available on academia.edu</w:t>
      </w:r>
      <w:r w:rsidR="00C76C3A">
        <w:t>.</w:t>
      </w:r>
    </w:p>
    <w:p w:rsidR="001D0CD0" w:rsidRDefault="00F95D77" w:rsidP="001D0CD0">
      <w:pPr>
        <w:pStyle w:val="NormalWeb"/>
      </w:pPr>
      <w:r>
        <w:t xml:space="preserve">‘Vologaeses as Mirror’, </w:t>
      </w:r>
      <w:r>
        <w:rPr>
          <w:rStyle w:val="Emphasis"/>
        </w:rPr>
        <w:t>Histos 5</w:t>
      </w:r>
      <w:r>
        <w:t xml:space="preserve"> (2011), 208-31</w:t>
      </w:r>
      <w:r w:rsidR="00C76C3A">
        <w:t>.</w:t>
      </w:r>
    </w:p>
    <w:p w:rsidR="001D0CD0" w:rsidRDefault="00F95D77" w:rsidP="001D0CD0">
      <w:pPr>
        <w:pStyle w:val="NormalWeb"/>
      </w:pPr>
      <w:r>
        <w:t xml:space="preserve">‘Magistri and ministri in Roman Italy: associations with gods’, in J. Richardson and F. Santangelo (eds.), </w:t>
      </w:r>
      <w:r>
        <w:rPr>
          <w:rStyle w:val="Emphasis"/>
        </w:rPr>
        <w:t>Priests and State in the Roman World</w:t>
      </w:r>
      <w:r>
        <w:t>, Steiner 2011, 341-72.</w:t>
      </w:r>
    </w:p>
    <w:p w:rsidR="001D0CD0" w:rsidRDefault="00F95D77" w:rsidP="001D0CD0">
      <w:pPr>
        <w:pStyle w:val="NormalWeb"/>
      </w:pPr>
      <w:r>
        <w:t xml:space="preserve">‘The City in Epistolography’ </w:t>
      </w:r>
      <w:r>
        <w:rPr>
          <w:rStyle w:val="Emphasis"/>
        </w:rPr>
        <w:t xml:space="preserve">Oxford Research Archive </w:t>
      </w:r>
      <w:r>
        <w:t>2007</w:t>
      </w:r>
      <w:r w:rsidR="00C76C3A">
        <w:t>.</w:t>
      </w:r>
    </w:p>
    <w:p w:rsidR="001D0CD0" w:rsidRDefault="00F95D77" w:rsidP="001D0CD0">
      <w:pPr>
        <w:pStyle w:val="NormalWeb"/>
      </w:pPr>
      <w:r>
        <w:t xml:space="preserve">‘Passwords and their significance’ </w:t>
      </w:r>
      <w:r>
        <w:rPr>
          <w:rStyle w:val="Emphasis"/>
        </w:rPr>
        <w:t>Oxford Research Archive</w:t>
      </w:r>
      <w:r>
        <w:t xml:space="preserve"> 2007</w:t>
      </w:r>
      <w:r w:rsidR="00C76C3A">
        <w:t>.</w:t>
      </w:r>
    </w:p>
    <w:p w:rsidR="00F95D77" w:rsidRDefault="00F95D77" w:rsidP="001D0CD0">
      <w:pPr>
        <w:pStyle w:val="NormalWeb"/>
      </w:pPr>
      <w:r>
        <w:t xml:space="preserve">‘Nasica and fides’, </w:t>
      </w:r>
      <w:r>
        <w:rPr>
          <w:rStyle w:val="Emphasis"/>
        </w:rPr>
        <w:t>CQ 57</w:t>
      </w:r>
      <w:r>
        <w:t xml:space="preserve"> (2007), 125-31</w:t>
      </w:r>
      <w:r w:rsidR="00C76C3A">
        <w:t>.</w:t>
      </w:r>
    </w:p>
    <w:p w:rsidR="001D0CD0" w:rsidRDefault="001D0CD0" w:rsidP="001D0CD0">
      <w:pPr>
        <w:pStyle w:val="NormalWeb"/>
      </w:pPr>
      <w:r>
        <w:t>Wiley-</w:t>
      </w:r>
      <w:r w:rsidR="006841D6">
        <w:t>Blackwell Encyclopedia of Ancient History</w:t>
      </w:r>
      <w:r>
        <w:t>:</w:t>
      </w:r>
      <w:r w:rsidR="006841D6">
        <w:t xml:space="preserve"> entries for ‘Milo’, ‘Clodia’, ‘</w:t>
      </w:r>
      <w:r>
        <w:t>Tiberius and Gaius Gracchus</w:t>
      </w:r>
      <w:r w:rsidR="006841D6">
        <w:t>’</w:t>
      </w:r>
      <w:r>
        <w:t>.</w:t>
      </w:r>
    </w:p>
    <w:p w:rsidR="001D0CD0" w:rsidRDefault="001D0CD0" w:rsidP="001D0CD0">
      <w:pPr>
        <w:pStyle w:val="NormalWeb"/>
      </w:pPr>
      <w:r>
        <w:t>Reviews:</w:t>
      </w:r>
    </w:p>
    <w:p w:rsidR="006841D6" w:rsidRDefault="006841D6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6841D6">
        <w:rPr>
          <w:i/>
        </w:rPr>
        <w:t>On Roman Religion: Lived Religion and the Individual in Ancient Rome</w:t>
      </w:r>
      <w:r>
        <w:t xml:space="preserve"> (J. Rüpke) for </w:t>
      </w:r>
      <w:r w:rsidRPr="006841D6">
        <w:rPr>
          <w:i/>
        </w:rPr>
        <w:t>Reading Religion</w:t>
      </w:r>
      <w:r w:rsidR="001D0CD0">
        <w:t xml:space="preserve"> (2017)</w:t>
      </w:r>
      <w:r w:rsidR="00C76C3A">
        <w:t>.</w:t>
      </w:r>
    </w:p>
    <w:p w:rsidR="001D0CD0" w:rsidRPr="001D0CD0" w:rsidRDefault="001D0CD0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1D0CD0">
        <w:rPr>
          <w:i/>
        </w:rPr>
        <w:t>Religion in Republican Rome: Rationalization and Ritual Change</w:t>
      </w:r>
      <w:r>
        <w:t xml:space="preserve"> (</w:t>
      </w:r>
      <w:r w:rsidR="00C76C3A">
        <w:t xml:space="preserve">J. </w:t>
      </w:r>
      <w:r>
        <w:t>Rüpke</w:t>
      </w:r>
      <w:r w:rsidR="00C76C3A">
        <w:t>)</w:t>
      </w:r>
      <w:r>
        <w:t xml:space="preserve">, </w:t>
      </w:r>
      <w:r w:rsidRPr="00C76C3A">
        <w:rPr>
          <w:i/>
        </w:rPr>
        <w:t>JRS</w:t>
      </w:r>
      <w:r>
        <w:t xml:space="preserve"> 103 (2013), 278-9.</w:t>
      </w:r>
    </w:p>
    <w:p w:rsidR="001D0CD0" w:rsidRDefault="001D0CD0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915DD5">
        <w:rPr>
          <w:i/>
        </w:rPr>
        <w:t>Imperial Ideals in the Roman We</w:t>
      </w:r>
      <w:r w:rsidR="00C76C3A">
        <w:rPr>
          <w:i/>
        </w:rPr>
        <w:t>s</w:t>
      </w:r>
      <w:r w:rsidRPr="00915DD5">
        <w:rPr>
          <w:i/>
        </w:rPr>
        <w:t xml:space="preserve">t: Representation, Circulation, Power </w:t>
      </w:r>
      <w:r w:rsidRPr="00915DD5">
        <w:t>(</w:t>
      </w:r>
      <w:r w:rsidR="00C76C3A">
        <w:t xml:space="preserve">C. F. </w:t>
      </w:r>
      <w:r w:rsidRPr="00915DD5">
        <w:t>Noreña) in CJ-Online, 2013</w:t>
      </w:r>
      <w:r>
        <w:t>.</w:t>
      </w:r>
    </w:p>
    <w:p w:rsidR="001D0CD0" w:rsidRDefault="001D0CD0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E76E59">
        <w:rPr>
          <w:i/>
        </w:rPr>
        <w:t>Foreign Cults in Rome: Creating a Roman Empire</w:t>
      </w:r>
      <w:r>
        <w:t xml:space="preserve"> (</w:t>
      </w:r>
      <w:r w:rsidR="00C76C3A">
        <w:t xml:space="preserve">E. </w:t>
      </w:r>
      <w:r>
        <w:t xml:space="preserve">Orlin), in </w:t>
      </w:r>
      <w:r w:rsidRPr="00915DD5">
        <w:rPr>
          <w:i/>
        </w:rPr>
        <w:t>JRS</w:t>
      </w:r>
      <w:r>
        <w:t xml:space="preserve"> 102 (2012), 342-3.</w:t>
      </w:r>
    </w:p>
    <w:p w:rsidR="00E76E59" w:rsidRDefault="00E76E59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E76E59">
        <w:rPr>
          <w:i/>
        </w:rPr>
        <w:t>Roman Gods. A Conceptual Approach</w:t>
      </w:r>
      <w:r w:rsidR="006841D6" w:rsidRPr="00E76E59">
        <w:t xml:space="preserve"> (</w:t>
      </w:r>
      <w:r w:rsidR="00C76C3A">
        <w:t xml:space="preserve">M. </w:t>
      </w:r>
      <w:r w:rsidRPr="00E76E59">
        <w:t>Lipka</w:t>
      </w:r>
      <w:r w:rsidR="00C76C3A">
        <w:t>)</w:t>
      </w:r>
      <w:r>
        <w:t xml:space="preserve">, in </w:t>
      </w:r>
      <w:r w:rsidRPr="00915DD5">
        <w:rPr>
          <w:i/>
        </w:rPr>
        <w:t>Classical Review</w:t>
      </w:r>
      <w:r w:rsidR="00C76C3A">
        <w:t xml:space="preserve"> 60</w:t>
      </w:r>
      <w:r>
        <w:t xml:space="preserve"> (2010), 515-7.</w:t>
      </w:r>
    </w:p>
    <w:p w:rsidR="006841D6" w:rsidRDefault="001D0CD0" w:rsidP="00C76C3A">
      <w:pPr>
        <w:pStyle w:val="NormalWeb"/>
        <w:spacing w:before="0" w:beforeAutospacing="0" w:after="0" w:afterAutospacing="0"/>
      </w:pPr>
      <w:r>
        <w:lastRenderedPageBreak/>
        <w:t xml:space="preserve">Review of </w:t>
      </w:r>
      <w:r w:rsidRPr="001D0CD0">
        <w:rPr>
          <w:i/>
        </w:rPr>
        <w:t>Lexicon Topographicum Urbis Romae Suburbium</w:t>
      </w:r>
      <w:r>
        <w:t xml:space="preserve">, in </w:t>
      </w:r>
      <w:r w:rsidRPr="001D0CD0">
        <w:rPr>
          <w:i/>
        </w:rPr>
        <w:t xml:space="preserve">JRS </w:t>
      </w:r>
      <w:r>
        <w:t>94 (2004), 211-12.</w:t>
      </w:r>
    </w:p>
    <w:p w:rsidR="001D0CD0" w:rsidRDefault="001D0CD0" w:rsidP="00C76C3A">
      <w:pPr>
        <w:pStyle w:val="NormalWeb"/>
        <w:spacing w:before="0" w:beforeAutospacing="0" w:after="0" w:afterAutospacing="0"/>
      </w:pPr>
      <w:r>
        <w:t xml:space="preserve">Review of </w:t>
      </w:r>
      <w:r w:rsidRPr="001D0CD0">
        <w:rPr>
          <w:i/>
        </w:rPr>
        <w:t>Palatium. Topografia storica del Palatino tra III sc. a. C. e I sc. d. C.</w:t>
      </w:r>
      <w:r>
        <w:t xml:space="preserve"> (la Regina, A.), in </w:t>
      </w:r>
      <w:r w:rsidRPr="001D0CD0">
        <w:rPr>
          <w:i/>
        </w:rPr>
        <w:t xml:space="preserve">JRS </w:t>
      </w:r>
      <w:r>
        <w:t>94 (2004), 210-11.</w:t>
      </w:r>
    </w:p>
    <w:p w:rsidR="00810CF1" w:rsidRDefault="00810CF1" w:rsidP="001D0CD0">
      <w:pPr>
        <w:spacing w:line="360" w:lineRule="auto"/>
      </w:pPr>
    </w:p>
    <w:sectPr w:rsidR="00810CF1" w:rsidSect="001D0C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2A" w:rsidRDefault="0043202A" w:rsidP="00C76C3A">
      <w:pPr>
        <w:spacing w:after="0" w:line="240" w:lineRule="auto"/>
      </w:pPr>
      <w:r>
        <w:separator/>
      </w:r>
    </w:p>
  </w:endnote>
  <w:endnote w:type="continuationSeparator" w:id="0">
    <w:p w:rsidR="0043202A" w:rsidRDefault="0043202A" w:rsidP="00C7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2A" w:rsidRDefault="0043202A" w:rsidP="00C76C3A">
      <w:pPr>
        <w:spacing w:after="0" w:line="240" w:lineRule="auto"/>
      </w:pPr>
      <w:r>
        <w:separator/>
      </w:r>
    </w:p>
  </w:footnote>
  <w:footnote w:type="continuationSeparator" w:id="0">
    <w:p w:rsidR="0043202A" w:rsidRDefault="0043202A" w:rsidP="00C7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7"/>
    <w:rsid w:val="001D0CD0"/>
    <w:rsid w:val="0043202A"/>
    <w:rsid w:val="00482E9A"/>
    <w:rsid w:val="006841D6"/>
    <w:rsid w:val="00810CF1"/>
    <w:rsid w:val="00915DD5"/>
    <w:rsid w:val="00C76C3A"/>
    <w:rsid w:val="00DC2C5B"/>
    <w:rsid w:val="00E76E59"/>
    <w:rsid w:val="00F95D77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CEA5-EF2A-4A5C-94D8-F5BD0D1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95D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5D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3A"/>
  </w:style>
  <w:style w:type="paragraph" w:styleId="Footer">
    <w:name w:val="footer"/>
    <w:basedOn w:val="Normal"/>
    <w:link w:val="FooterChar"/>
    <w:uiPriority w:val="99"/>
    <w:unhideWhenUsed/>
    <w:rsid w:val="00C7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ics.ox.ac.uk/annaclar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Catherine Sorrel Conisbee</cp:lastModifiedBy>
  <cp:revision>2</cp:revision>
  <dcterms:created xsi:type="dcterms:W3CDTF">2018-03-29T16:56:00Z</dcterms:created>
  <dcterms:modified xsi:type="dcterms:W3CDTF">2018-03-29T16:56:00Z</dcterms:modified>
</cp:coreProperties>
</file>